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Person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Planungsjahr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/ Datum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Jahresübersicht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Monat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 / Aufgabe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Bereich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Fällig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Nachweis</w:t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Januar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Februar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März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April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Mai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Juni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Juli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August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September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Oktober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November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22" w:hRule="atLeast"/>
          <w:cantSplit/>
        </w:trPr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Dezember</w:t>
            </w:r>
          </w:p>
        </w:tc>
        <w:tc>
          <w:tcPr>
            <w:tcW w:type="dxa" w:w="442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Plan aus Gefährdungsbeurteilungen, Prüffristen, Unterweisungsanlässen, arbeitsmedizinischer Vorsorge, ASA-Terminen und offenen Maßnahmen ableiten. Betriebliche sowie trägerspezifische Vorgaben ergänzen.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§§ 3, 5, 6 und 12; BetrSichV §§ 3 und 14; ArbMedVV; DGUV Vorschrift 2.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Arbeitsschutz-Jahresplan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Wiederkehrende Aufgaben planen und wirksam nachverfolgen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Arbeitsschutz-Jahresplan</dc:title>
  <dc:subject>Wiederkehrende Aufgaben planen und wirksam nachverfolgen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