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Gebäude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Kontrollierende Person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Kontrolldatum / nächste Kontrolle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Art, Menge und Aufbewahrungsorte des Erste-Hilfe-Materials aus Betriebsgröße, Gefährdungen, räumlicher Ausdehnung, Schichtbelegung und betrieblichem Rettungswesen ableiten. Die Vorlage ersetzt diese Gefährdungsbeurteilung nicht.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Standortübersicht</w:t>
      </w:r>
    </w:p>
    <w:tbl>
      <w:tblPr>
        <w:tblW w:type="dxa" w:w="15475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  <w:gridCol w:w="2211"/>
        <w:gridCol w:w="2211"/>
        <w:gridCol w:w="2211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Standort / Kennzeichnung</w:t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Ausstattung / betriebliche Festlegung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zugänglich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vollständig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ohne Mängel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Termin</w:t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2. Kontrollumfang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rHeight w:val="454" w:hRule="atLeast"/>
          <w:tblHeader w:val="true"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n.i.O.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entfällt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Aufbewahrungsort sichtbar gekennzeichnet und schnell erreichbar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Behältnis sauber, trocken, unbeschädigt und leicht zu öffnen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Bestand entsprechend der festgelegten Ausstattung vollständig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Verbrauchtes, beschädigtes oder verunreinigtes Material ersetzt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Ablauf- beziehungsweise Verwendbarkeitsdaten kontrolliert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42" w:hRule="atLeast"/>
          <w:cantSplit/>
        </w:trPr>
        <w:tc>
          <w:tcPr>
            <w:tcW w:type="dxa" w:w="76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Meldeeinrichtung und Notrufinformationen funktionsfähig / aktuell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3. Zusätzliche Mittel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rPr>
          <w:trHeight w:val="454" w:hRule="atLeast"/>
          <w:tblHeader w:val="true"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Zusätzliche Einrichtung / Mittel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vorhanden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einsatzbereit</w:t>
            </w:r>
          </w:p>
        </w:tc>
        <w:tc>
          <w:tcPr>
            <w:tcW w:type="dxa" w:w="60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Standort / Feststellung</w:t>
            </w:r>
          </w:p>
        </w:tc>
      </w:tr>
      <w:tr>
        <w:trPr>
          <w:trHeight w:val="454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Augenspüleinrichtung, soweit erforderlich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0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AED, Rettungsgerät oder besondere Ausstattung, soweit festgelegt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0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Material für Außendienst / Fahrzeuge und weitere Mittel aus der Gefährdungsbeurteilung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0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Nachbestellung und Abschluss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rHeight w:val="454" w:hRule="atLeast"/>
          <w:tblHeader w:val="true"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Fehlendes / auszutauschendes Material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Menge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 am</w:t>
            </w:r>
          </w:p>
        </w:tc>
      </w:tr>
      <w:tr>
        <w:trPr>
          <w:trHeight w:val="482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5. Gesamtstatus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  <w:gridCol w:w="5159"/>
      </w:tblGrid>
      <w:tr>
        <w:trPr>
          <w:trHeight w:val="454" w:hRule="atLeast"/>
          <w:tblHeader w:val="true"/>
        </w:trPr>
        <w:tc>
          <w:tcPr>
            <w:tcW w:type="dxa" w:w="82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Bewertung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zutreffend</w:t>
            </w:r>
          </w:p>
        </w:tc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Festlegung</w:t>
            </w:r>
          </w:p>
        </w:tc>
      </w:tr>
      <w:tr>
        <w:trPr>
          <w:trHeight w:val="454" w:hRule="atLeast"/>
          <w:cantSplit/>
        </w:trPr>
        <w:tc>
          <w:tcPr>
            <w:tcW w:type="dxa" w:w="82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Alle kontrollierten Standorte sind einsatzbereit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82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Nachfüllung oder Austausch ist erforderlich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82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Ein Standort ist bis zur Wiederherstellung besonders zu kennzeichnen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Kontrolle abgeschlossen / Weitergabe an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Unterschrift / nächste Kontrolle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10; DGUV Vorschrift 1 §§ 24 und 25; ASR A4.3. Konkrete Ausstattung und Kontrollintervalle betrieblich festlegen.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Kontrolle der Erste-Hilfe-Ausstattung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Standorte, Zugänglichkeit und Einsatzbereitschaft regelmäßig prüfen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Kontrolle der Erste-Hilfe-Ausstattung</dc:title>
  <dc:subject>Standorte, Zugänglichkeit und Einsatzbereitschaft regelmäßig prüfen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