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Gebäude / Bereich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letzte Prüfung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 für Aktualisierung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Aushang gut sichtbar anbringen und alle Angaben standortbezogen ergänzen. Bei akuter Gefahr zuerst Eigenschutz beachten, gefährdete Personen warnen und den Notruf auslösen.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NOTRUF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Feuerwehr / Rettungsdienst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Polizei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Interne Notrufnummer</w:t>
            </w:r>
          </w:p>
        </w:tc>
      </w:tr>
      <w:tr>
        <w:trPr>
          <w:trHeight w:val="1247" w:hRule="atLeast"/>
          <w:cantSplit/>
        </w:trPr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112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110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Angaben beim Notruf</w:t>
            </w:r>
          </w:p>
        </w:tc>
      </w:tr>
      <w:tr>
        <w:trPr>
          <w:trHeight w:val="510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Wo ist es passiert? Was ist passiert? Wie viele Betroffene? Welche Gefahren bestehen? Auf Rückfragen warten.</w:t>
            </w:r>
          </w:p>
        </w:tc>
      </w:tr>
    </w:tbl>
    <w:p>
      <w:pPr>
        <w:pStyle w:val="Heading2"/>
        <w:keepNext/>
      </w:pPr>
      <w:r>
        <w:t>Betriebliche Hilfe und Standorte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 / Einrichtung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 / genauer Standort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Telefon / Hinweis</w:t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Ersthelfende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Brandschutz- / Evakuierungshelfende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Erste-Hilfe-Material / AED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Feuerlöscheinrichtungen / Alarmierung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Sammelstelle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Interne Meldestelle / Führungskraft</w:t>
            </w:r>
          </w:p>
        </w:tc>
        <w:tc>
          <w:tcPr>
            <w:tcW w:type="dxa" w:w="408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Betriebliche Kontaktübersicht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 / Stelle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Telefon intern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Mobil / extern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Erreichbarkeit / Vertretung</w:t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17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Standortbezogene Angaben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Adresse für Rettungsdienst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Zufahrt / Einweisungspunkt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Sammelstelle / besondere Gefahren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Nächster D-Arzt / weitere externe Stelle</w:t>
              <w:br/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Aktualitätskontrolle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Geprüft am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Geprüft durch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Änderung erforderlich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Aushänge ersetzt am</w:t>
            </w:r>
          </w:p>
        </w:tc>
      </w:tr>
      <w:tr>
        <w:trPr>
          <w:trHeight w:val="45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Kontaktübersicht ergänzt die betriebliche Alarm- und Notfallorganisation. Erforderliche Maßnahmen, Helferzahlen, Fluchtwege, Sammelstellen und besondere Rettungsmaßnahmen sind aus der Gefährdungsbeurteilung abzuleiten.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10; DGUV Vorschrift 1 §§ 22 bis 25; ASR A2.2, ASR A2.3 und ASR A4.3.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Notfallkontakte und betriebliche Hilfe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Wichtige Rufnummern, Standorte und Ansprechpersonen auf einen Blick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Notfallkontakte und betriebliche Hilfe</dc:title>
  <dc:subject>Wichtige Rufnummern, Standorte und Ansprechpersonen auf einen Blick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