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Abteilung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Meldende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Meldedatum / Uhrzeit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Ereignis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Ereignisart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Datum / Uhrzeit</w:t>
            </w:r>
          </w:p>
        </w:tc>
        <w:tc>
          <w:tcPr>
            <w:tcW w:type="dxa" w:w="43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Ort / Arbeitsbereich</w:t>
            </w:r>
          </w:p>
        </w:tc>
      </w:tr>
      <w:tr>
        <w:trPr>
          <w:trHeight w:val="850" w:hRule="atLeast"/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☐ Arbeitsunfall   ☐ Wegeunfall   ☐ Beinaheereignis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3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454" w:hRule="atLeast"/>
          <w:tblHeader w:val="true"/>
        </w:trPr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Betroffene Person / Funktion</w:t>
            </w:r>
          </w:p>
        </w:tc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Tätigkeit zum Ereigniszeitpunkt</w:t>
            </w:r>
          </w:p>
        </w:tc>
      </w:tr>
      <w:tr>
        <w:trPr>
          <w:trHeight w:val="850" w:hRule="atLeast"/>
          <w:cantSplit/>
        </w:trPr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Sachverhalt - kurz, konkret und ohne Schuldzuweisung</w:t>
            </w:r>
          </w:p>
        </w:tc>
      </w:tr>
      <w:tr>
        <w:trPr>
          <w:trHeight w:val="1417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2. Folgen und Sofortmaßnahmen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Verletzung / betroffener Körperteil</w:t>
            </w:r>
          </w:p>
        </w:tc>
        <w:tc>
          <w:tcPr>
            <w:tcW w:type="dxa" w:w="35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Ausfall / Arzt / Krankenhaus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Erste Hilfe durch</w:t>
            </w:r>
          </w:p>
        </w:tc>
      </w:tr>
      <w:tr>
        <w:trPr>
          <w:trHeight w:val="680" w:hRule="atLeast"/>
          <w:cantSplit/>
        </w:trPr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454" w:hRule="atLeast"/>
          <w:tblHeader w:val="true"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Sofortmaßnahmen / gesicherter Zustand</w:t>
            </w:r>
          </w:p>
        </w:tc>
        <w:tc>
          <w:tcPr>
            <w:tcW w:type="dxa" w:w="419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Zeugen / weitere Beteiligte</w:t>
            </w:r>
          </w:p>
        </w:tc>
      </w:tr>
      <w:tr>
        <w:trPr>
          <w:trHeight w:val="737" w:hRule="atLeast"/>
          <w:cantSplit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19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3. Ursachenanalyse und Folgemaßnahmen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Ursachenbereich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trifft zu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Nachweis</w:t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Arbeitsverfahren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 / Technik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Organisation / Zuständigkeit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Qualifikation / Unterweisung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Arbeitsumgebung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PSA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Zeitdruck / Kommunikation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Sonstiges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51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 / Wirksamkeit</w:t>
            </w:r>
          </w:p>
        </w:tc>
      </w:tr>
      <w:tr>
        <w:trPr>
          <w:trHeight w:val="567" w:hRule="atLeast"/>
          <w:cantSplit/>
        </w:trPr>
        <w:tc>
          <w:tcPr>
            <w:tcW w:type="dxa" w:w="51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1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1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Analyse durchgeführt durch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Freigabe / Datum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Dieser Meldebogen ersetzt weder den Erste-Hilfe-Nachweis noch eine gegebenenfalls erforderliche Unfallanzeige. Meldepflicht, Datenschutz und Beteiligung der zuständigen Stellen gesondert prüfen.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6 Abs. 2; SGB VII § 193; DGUV Vorschrift 1; betriebliche Meldewege.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Unfall- und Beinaheereignis-Meldebogen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Ereignisse einheitlich erfassen und wirksame Folgemaßnahmen ableiten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Unfall- und Beinaheereignis-Meldebogen</dc:title>
  <dc:subject>Ereignisse einheitlich erfassen und wirksame Folgemaßnahmen ableiten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